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617E" w14:textId="315F1B91" w:rsidR="00722A40" w:rsidRDefault="00722A40" w:rsidP="00722A4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40437"/>
          <w:sz w:val="21"/>
          <w:szCs w:val="21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35B88F" wp14:editId="27FC5B07">
            <wp:simplePos x="0" y="0"/>
            <wp:positionH relativeFrom="column">
              <wp:posOffset>711200</wp:posOffset>
            </wp:positionH>
            <wp:positionV relativeFrom="paragraph">
              <wp:posOffset>0</wp:posOffset>
            </wp:positionV>
            <wp:extent cx="4648200" cy="1132439"/>
            <wp:effectExtent l="0" t="0" r="0" b="0"/>
            <wp:wrapSquare wrapText="bothSides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13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65DE6A" w14:textId="77777777" w:rsidR="00722A40" w:rsidRDefault="00722A40" w:rsidP="00722A4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</w:p>
    <w:p w14:paraId="443AE83A" w14:textId="77777777" w:rsidR="00722A40" w:rsidRDefault="00722A40" w:rsidP="00722A4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</w:p>
    <w:p w14:paraId="4DDB913C" w14:textId="77777777" w:rsidR="00722A40" w:rsidRDefault="00722A40" w:rsidP="00722A4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</w:p>
    <w:p w14:paraId="4F498D9A" w14:textId="22EBDF20" w:rsidR="00722A40" w:rsidRPr="00722A40" w:rsidRDefault="00722A40" w:rsidP="00722A4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>The European Convention on Human Rights</w:t>
      </w:r>
    </w:p>
    <w:p w14:paraId="425E9552" w14:textId="25A34142" w:rsidR="00722A40" w:rsidRPr="00722A40" w:rsidRDefault="00722A40" w:rsidP="00722A4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>1 Page Briefing</w:t>
      </w:r>
    </w:p>
    <w:p w14:paraId="1AA3E86A" w14:textId="34703261" w:rsidR="00722A40" w:rsidRPr="00722A40" w:rsidRDefault="00722A40" w:rsidP="00722A4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>The European Convention on Human Rights (ECHR) sets out important rights and protections for individuals that the UK, as well as 46 other states, has agreed to uphold.</w:t>
      </w:r>
    </w:p>
    <w:p w14:paraId="1D17EE65" w14:textId="77777777" w:rsidR="00722A40" w:rsidRPr="00722A40" w:rsidRDefault="00722A40" w:rsidP="00722A4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>The ECHR protects the right to:</w:t>
      </w:r>
    </w:p>
    <w:p w14:paraId="3A2161E6" w14:textId="77777777" w:rsidR="00722A40" w:rsidRPr="00722A40" w:rsidRDefault="00722A40" w:rsidP="00722A4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 xml:space="preserve">life, </w:t>
      </w:r>
      <w:proofErr w:type="gramStart"/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>freedom</w:t>
      </w:r>
      <w:proofErr w:type="gramEnd"/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 xml:space="preserve"> and security</w:t>
      </w:r>
    </w:p>
    <w:p w14:paraId="5FB0BE70" w14:textId="77777777" w:rsidR="00722A40" w:rsidRPr="00722A40" w:rsidRDefault="00722A40" w:rsidP="00722A40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</w:p>
    <w:p w14:paraId="2DB579CA" w14:textId="59FD263C" w:rsidR="00722A40" w:rsidRPr="00722A40" w:rsidRDefault="00722A40" w:rsidP="00722A4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>respect for private and family life</w:t>
      </w:r>
    </w:p>
    <w:p w14:paraId="3DEA52F6" w14:textId="77777777" w:rsidR="00722A40" w:rsidRPr="00722A40" w:rsidRDefault="00722A40" w:rsidP="00722A40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</w:p>
    <w:p w14:paraId="260E0DEE" w14:textId="1A86BC16" w:rsidR="00722A40" w:rsidRPr="00722A40" w:rsidRDefault="00722A40" w:rsidP="00722A4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>freedom of expression</w:t>
      </w:r>
    </w:p>
    <w:p w14:paraId="268AC329" w14:textId="77777777" w:rsidR="00722A40" w:rsidRPr="00722A40" w:rsidRDefault="00722A40" w:rsidP="00722A40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</w:p>
    <w:p w14:paraId="04392B3F" w14:textId="617D7F55" w:rsidR="00722A40" w:rsidRPr="00722A40" w:rsidRDefault="00722A40" w:rsidP="00722A4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 xml:space="preserve">freedom of thought, </w:t>
      </w:r>
      <w:proofErr w:type="gramStart"/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>conscience</w:t>
      </w:r>
      <w:proofErr w:type="gramEnd"/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 xml:space="preserve"> and religion</w:t>
      </w:r>
    </w:p>
    <w:p w14:paraId="72CD5490" w14:textId="77777777" w:rsidR="00722A40" w:rsidRPr="00722A40" w:rsidRDefault="00722A40" w:rsidP="00722A40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</w:p>
    <w:p w14:paraId="203CC3D0" w14:textId="346DC939" w:rsidR="00722A40" w:rsidRPr="00722A40" w:rsidRDefault="00722A40" w:rsidP="00722A4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>vote in and stand for election</w:t>
      </w:r>
    </w:p>
    <w:p w14:paraId="7E78F68E" w14:textId="77777777" w:rsidR="00722A40" w:rsidRPr="00722A40" w:rsidRDefault="00722A40" w:rsidP="00722A40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</w:p>
    <w:p w14:paraId="5630D7AE" w14:textId="4A3215BE" w:rsidR="00722A40" w:rsidRPr="00722A40" w:rsidRDefault="00722A40" w:rsidP="00722A4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>a fair trial in civil and criminal matters</w:t>
      </w:r>
    </w:p>
    <w:p w14:paraId="33A0129C" w14:textId="77777777" w:rsidR="00722A40" w:rsidRPr="00722A40" w:rsidRDefault="00722A40" w:rsidP="00722A40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</w:p>
    <w:p w14:paraId="2ACF153D" w14:textId="0197B24E" w:rsidR="00722A40" w:rsidRPr="00722A40" w:rsidRDefault="00722A40" w:rsidP="00722A4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>property and peaceful enjoyment of possessions.</w:t>
      </w:r>
    </w:p>
    <w:p w14:paraId="01C76869" w14:textId="1EF6ADF6" w:rsidR="00722A40" w:rsidRPr="00722A40" w:rsidRDefault="00722A40" w:rsidP="00722A40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</w:p>
    <w:p w14:paraId="787C79B0" w14:textId="77777777" w:rsidR="00722A40" w:rsidRPr="00722A40" w:rsidRDefault="00722A40" w:rsidP="00722A40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</w:p>
    <w:p w14:paraId="656E95A2" w14:textId="77777777" w:rsidR="00722A40" w:rsidRPr="00722A40" w:rsidRDefault="00722A40" w:rsidP="00722A4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>The ECHR prohibits:</w:t>
      </w:r>
    </w:p>
    <w:p w14:paraId="5E6F44D6" w14:textId="77777777" w:rsidR="00722A40" w:rsidRPr="00722A40" w:rsidRDefault="00722A40" w:rsidP="00722A4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>the death penalty</w:t>
      </w:r>
    </w:p>
    <w:p w14:paraId="14FC9B62" w14:textId="77777777" w:rsidR="00722A40" w:rsidRPr="00722A40" w:rsidRDefault="00722A40" w:rsidP="00722A40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</w:p>
    <w:p w14:paraId="6DB0AF8A" w14:textId="5A5549C9" w:rsidR="00722A40" w:rsidRPr="00722A40" w:rsidRDefault="00722A40" w:rsidP="00722A4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>torture or inhuman or degrading treatment or punishment</w:t>
      </w:r>
    </w:p>
    <w:p w14:paraId="2481C388" w14:textId="77777777" w:rsidR="00722A40" w:rsidRPr="00722A40" w:rsidRDefault="00722A40" w:rsidP="00722A40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</w:p>
    <w:p w14:paraId="2E4B2D41" w14:textId="39E1BFA4" w:rsidR="00722A40" w:rsidRPr="00722A40" w:rsidRDefault="00722A40" w:rsidP="00722A4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>slavery and forced labour</w:t>
      </w:r>
    </w:p>
    <w:p w14:paraId="56260AB1" w14:textId="77777777" w:rsidR="00722A40" w:rsidRPr="00722A40" w:rsidRDefault="00722A40" w:rsidP="00722A40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</w:p>
    <w:p w14:paraId="1513F4A7" w14:textId="213700CA" w:rsidR="00722A40" w:rsidRPr="00722A40" w:rsidRDefault="00722A40" w:rsidP="00722A4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>arbitrary and unlawful detention</w:t>
      </w:r>
    </w:p>
    <w:p w14:paraId="7FF9CF95" w14:textId="77777777" w:rsidR="00722A40" w:rsidRPr="00722A40" w:rsidRDefault="00722A40" w:rsidP="00722A40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</w:p>
    <w:p w14:paraId="399D5C92" w14:textId="0C7502D1" w:rsidR="00722A40" w:rsidRPr="00722A40" w:rsidRDefault="00722A40" w:rsidP="00722A4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>discrimination in the enjoyment of the rights and freedom secured by the Convention</w:t>
      </w:r>
    </w:p>
    <w:p w14:paraId="0F7D3848" w14:textId="77777777" w:rsidR="00722A40" w:rsidRPr="00722A40" w:rsidRDefault="00722A40" w:rsidP="00722A40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</w:p>
    <w:p w14:paraId="64F525D4" w14:textId="04041710" w:rsidR="00722A40" w:rsidRPr="00722A40" w:rsidRDefault="00722A40" w:rsidP="00722A4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40437"/>
          <w:sz w:val="24"/>
          <w:szCs w:val="24"/>
          <w:lang w:eastAsia="en-GB"/>
        </w:rPr>
      </w:pPr>
      <w:r w:rsidRPr="00722A40">
        <w:rPr>
          <w:rFonts w:ascii="Arial" w:eastAsia="Times New Roman" w:hAnsi="Arial" w:cs="Arial"/>
          <w:color w:val="640437"/>
          <w:sz w:val="24"/>
          <w:szCs w:val="24"/>
          <w:lang w:eastAsia="en-GB"/>
        </w:rPr>
        <w:t>deportation of a state’s own nationals or denying them entry and the collective deportation of foreigners</w:t>
      </w:r>
    </w:p>
    <w:sectPr w:rsidR="00722A40" w:rsidRPr="00722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22512"/>
    <w:multiLevelType w:val="multilevel"/>
    <w:tmpl w:val="C1E052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E7134A"/>
    <w:multiLevelType w:val="multilevel"/>
    <w:tmpl w:val="6A4C6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40"/>
    <w:rsid w:val="00722A40"/>
    <w:rsid w:val="008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6343"/>
  <w15:chartTrackingRefBased/>
  <w15:docId w15:val="{740ADB6E-BA46-4354-91AD-A55DDD19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Ferguson-Grant</dc:creator>
  <cp:keywords/>
  <dc:description/>
  <cp:lastModifiedBy>Rebecca Ferguson-Grant</cp:lastModifiedBy>
  <cp:revision>1</cp:revision>
  <dcterms:created xsi:type="dcterms:W3CDTF">2021-08-17T13:57:00Z</dcterms:created>
  <dcterms:modified xsi:type="dcterms:W3CDTF">2021-08-17T13:59:00Z</dcterms:modified>
</cp:coreProperties>
</file>